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361" w:tblpY="27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890"/>
        <w:gridCol w:w="1585"/>
        <w:gridCol w:w="1485"/>
        <w:gridCol w:w="990"/>
        <w:gridCol w:w="3270"/>
        <w:gridCol w:w="2250"/>
        <w:gridCol w:w="2115"/>
      </w:tblGrid>
      <w:tr w14:paraId="29AB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098E28E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75" w:type="dxa"/>
            <w:gridSpan w:val="2"/>
          </w:tcPr>
          <w:p w14:paraId="359110D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85" w:type="dxa"/>
          </w:tcPr>
          <w:p w14:paraId="6B58771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990" w:type="dxa"/>
          </w:tcPr>
          <w:p w14:paraId="66E4E30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3270" w:type="dxa"/>
          </w:tcPr>
          <w:p w14:paraId="7E49D9A7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品牌型号/生产厂家</w:t>
            </w:r>
          </w:p>
        </w:tc>
        <w:tc>
          <w:tcPr>
            <w:tcW w:w="2250" w:type="dxa"/>
          </w:tcPr>
          <w:p w14:paraId="60364C0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2115" w:type="dxa"/>
          </w:tcPr>
          <w:p w14:paraId="554F87A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</w:tr>
      <w:tr w14:paraId="5A86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78A9590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gridSpan w:val="2"/>
          </w:tcPr>
          <w:p w14:paraId="7BC111B5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固定资产管理软件</w:t>
            </w:r>
          </w:p>
        </w:tc>
        <w:tc>
          <w:tcPr>
            <w:tcW w:w="1485" w:type="dxa"/>
          </w:tcPr>
          <w:p w14:paraId="7380AE4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项</w:t>
            </w:r>
          </w:p>
        </w:tc>
        <w:tc>
          <w:tcPr>
            <w:tcW w:w="990" w:type="dxa"/>
          </w:tcPr>
          <w:p w14:paraId="745255E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70" w:type="dxa"/>
          </w:tcPr>
          <w:p w14:paraId="38696FF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 w14:paraId="1DFE325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15" w:type="dxa"/>
          </w:tcPr>
          <w:p w14:paraId="11923BC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303BF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90" w:type="dxa"/>
            <w:vMerge w:val="restart"/>
            <w:vAlign w:val="center"/>
          </w:tcPr>
          <w:p w14:paraId="1E6EAAAA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90" w:type="dxa"/>
            <w:vMerge w:val="restart"/>
            <w:vAlign w:val="center"/>
          </w:tcPr>
          <w:p w14:paraId="548D3D5C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配套设备</w:t>
            </w:r>
          </w:p>
        </w:tc>
        <w:tc>
          <w:tcPr>
            <w:tcW w:w="1585" w:type="dxa"/>
            <w:vAlign w:val="center"/>
          </w:tcPr>
          <w:p w14:paraId="57B60E4C"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PDA设备</w:t>
            </w:r>
          </w:p>
        </w:tc>
        <w:tc>
          <w:tcPr>
            <w:tcW w:w="1485" w:type="dxa"/>
          </w:tcPr>
          <w:p w14:paraId="49033171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990" w:type="dxa"/>
          </w:tcPr>
          <w:p w14:paraId="12DCE4D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270" w:type="dxa"/>
          </w:tcPr>
          <w:p w14:paraId="55A0D39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 w14:paraId="668DDCF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15" w:type="dxa"/>
          </w:tcPr>
          <w:p w14:paraId="7765DD6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18BA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90" w:type="dxa"/>
            <w:vMerge w:val="continue"/>
          </w:tcPr>
          <w:p w14:paraId="07D4B0A7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Merge w:val="continue"/>
          </w:tcPr>
          <w:p w14:paraId="2102D342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41F6ECB2"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资产标签打印机</w:t>
            </w:r>
          </w:p>
        </w:tc>
        <w:tc>
          <w:tcPr>
            <w:tcW w:w="1485" w:type="dxa"/>
            <w:vAlign w:val="center"/>
          </w:tcPr>
          <w:p w14:paraId="667A2E8B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990" w:type="dxa"/>
            <w:vAlign w:val="center"/>
          </w:tcPr>
          <w:p w14:paraId="6468DE7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270" w:type="dxa"/>
          </w:tcPr>
          <w:p w14:paraId="3F5CE16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 w14:paraId="3F56027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15" w:type="dxa"/>
          </w:tcPr>
          <w:p w14:paraId="618527A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01D1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1D817AA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2585" w:type="dxa"/>
            <w:gridSpan w:val="7"/>
          </w:tcPr>
          <w:p w14:paraId="52DDDDB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</w:tbl>
    <w:p w14:paraId="6F2E864D">
      <w:pPr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报价单</w:t>
      </w:r>
    </w:p>
    <w:p w14:paraId="6CA6497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7BAF891F">
      <w:pPr>
        <w:bidi w:val="0"/>
        <w:rPr>
          <w:rFonts w:hint="eastAsia"/>
          <w:lang w:val="en-US" w:eastAsia="zh-CN"/>
        </w:rPr>
      </w:pPr>
    </w:p>
    <w:p w14:paraId="2101D7FD">
      <w:pPr>
        <w:bidi w:val="0"/>
        <w:rPr>
          <w:rFonts w:hint="eastAsia"/>
          <w:lang w:val="en-US" w:eastAsia="zh-CN"/>
        </w:rPr>
      </w:pPr>
    </w:p>
    <w:p w14:paraId="0C841DEB">
      <w:pPr>
        <w:bidi w:val="0"/>
        <w:rPr>
          <w:rFonts w:hint="eastAsia"/>
          <w:lang w:val="en-US" w:eastAsia="zh-CN"/>
        </w:rPr>
      </w:pPr>
    </w:p>
    <w:p w14:paraId="407162C7">
      <w:pPr>
        <w:bidi w:val="0"/>
        <w:rPr>
          <w:rFonts w:hint="eastAsia"/>
          <w:lang w:val="en-US" w:eastAsia="zh-CN"/>
        </w:rPr>
      </w:pPr>
    </w:p>
    <w:p w14:paraId="41CA4ABF">
      <w:pPr>
        <w:bidi w:val="0"/>
        <w:rPr>
          <w:rFonts w:hint="eastAsia"/>
          <w:lang w:val="en-US" w:eastAsia="zh-CN"/>
        </w:rPr>
      </w:pPr>
    </w:p>
    <w:p w14:paraId="3BDF85F9">
      <w:pPr>
        <w:bidi w:val="0"/>
        <w:rPr>
          <w:rFonts w:hint="eastAsia"/>
          <w:lang w:val="en-US" w:eastAsia="zh-CN"/>
        </w:rPr>
      </w:pPr>
    </w:p>
    <w:p w14:paraId="5BE7B47E">
      <w:pPr>
        <w:bidi w:val="0"/>
        <w:rPr>
          <w:rFonts w:hint="eastAsia"/>
          <w:lang w:val="en-US" w:eastAsia="zh-CN"/>
        </w:rPr>
      </w:pPr>
    </w:p>
    <w:p w14:paraId="267F9B99">
      <w:pPr>
        <w:bidi w:val="0"/>
        <w:rPr>
          <w:rFonts w:hint="eastAsia"/>
          <w:lang w:val="en-US" w:eastAsia="zh-CN"/>
        </w:rPr>
      </w:pPr>
    </w:p>
    <w:p w14:paraId="34E067F7">
      <w:pPr>
        <w:bidi w:val="0"/>
        <w:rPr>
          <w:rFonts w:hint="eastAsia"/>
          <w:lang w:val="en-US" w:eastAsia="zh-CN"/>
        </w:rPr>
      </w:pPr>
    </w:p>
    <w:p w14:paraId="4C1ACBBF">
      <w:pPr>
        <w:bidi w:val="0"/>
        <w:rPr>
          <w:rFonts w:hint="eastAsia"/>
          <w:lang w:val="en-US" w:eastAsia="zh-CN"/>
        </w:rPr>
      </w:pPr>
    </w:p>
    <w:p w14:paraId="4E550B82">
      <w:pPr>
        <w:bidi w:val="0"/>
        <w:rPr>
          <w:rFonts w:hint="eastAsia"/>
          <w:lang w:val="en-US" w:eastAsia="zh-CN"/>
        </w:rPr>
      </w:pPr>
    </w:p>
    <w:p w14:paraId="34794586">
      <w:pPr>
        <w:bidi w:val="0"/>
        <w:rPr>
          <w:rFonts w:hint="eastAsia"/>
          <w:lang w:val="en-US" w:eastAsia="zh-CN"/>
        </w:rPr>
      </w:pPr>
    </w:p>
    <w:p w14:paraId="22797078">
      <w:pPr>
        <w:bidi w:val="0"/>
        <w:rPr>
          <w:rFonts w:hint="eastAsia"/>
          <w:lang w:val="en-US" w:eastAsia="zh-CN"/>
        </w:rPr>
      </w:pPr>
    </w:p>
    <w:p w14:paraId="03183321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t>随报价单一同递交</w:t>
      </w:r>
      <w:r>
        <w:rPr>
          <w:rFonts w:hint="eastAsia"/>
          <w:b/>
          <w:bCs/>
          <w:sz w:val="24"/>
          <w:szCs w:val="24"/>
          <w:lang w:val="en-US" w:eastAsia="zh-CN"/>
        </w:rPr>
        <w:t>1、营业执照复印件2、所投产品的参数表或技术说明书3、</w:t>
      </w:r>
      <w:r>
        <w:rPr>
          <w:rFonts w:hint="eastAsia"/>
          <w:b/>
          <w:bCs/>
          <w:sz w:val="24"/>
          <w:szCs w:val="24"/>
        </w:rPr>
        <w:t>法定代表人授权委托书</w:t>
      </w:r>
      <w:r>
        <w:rPr>
          <w:rFonts w:hint="eastAsia"/>
          <w:b/>
          <w:bCs/>
          <w:sz w:val="24"/>
          <w:szCs w:val="24"/>
          <w:lang w:val="en-US" w:eastAsia="zh-CN"/>
        </w:rPr>
        <w:t>4、</w:t>
      </w:r>
      <w:r>
        <w:rPr>
          <w:rFonts w:hint="eastAsia"/>
          <w:b/>
          <w:bCs/>
          <w:sz w:val="24"/>
          <w:szCs w:val="24"/>
        </w:rPr>
        <w:t>法定代表人身份证明</w:t>
      </w:r>
      <w:r>
        <w:rPr>
          <w:rFonts w:hint="eastAsia"/>
          <w:b/>
          <w:bCs/>
          <w:sz w:val="24"/>
          <w:szCs w:val="24"/>
          <w:lang w:val="en-US" w:eastAsia="zh-CN"/>
        </w:rPr>
        <w:t>5、</w:t>
      </w:r>
      <w:r>
        <w:rPr>
          <w:rFonts w:hint="eastAsia"/>
          <w:b/>
          <w:bCs/>
          <w:sz w:val="24"/>
          <w:szCs w:val="24"/>
        </w:rPr>
        <w:t>法人承诺书（以上材料均加盖单位公章）。</w:t>
      </w:r>
      <w:r>
        <w:rPr>
          <w:rFonts w:hint="eastAsia"/>
          <w:b/>
          <w:bCs/>
          <w:sz w:val="28"/>
          <w:szCs w:val="28"/>
        </w:rPr>
        <w:t xml:space="preserve"> </w:t>
      </w:r>
    </w:p>
    <w:p w14:paraId="51543792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注：1、不提供以上要求资质的视为无效报价。</w:t>
      </w:r>
    </w:p>
    <w:p w14:paraId="6F476461">
      <w:pPr>
        <w:numPr>
          <w:ilvl w:val="0"/>
          <w:numId w:val="1"/>
        </w:numPr>
        <w:ind w:left="140" w:leftChars="0" w:firstLine="0" w:firstLineChars="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该报价金额应包含设备供货（包装运输、装卸、设备就位）、安装调试、培训、各种辅助材料、税费、设备质保、服务人员差旅、检测检验、设备售后服务承诺范围内的服务等所有费用。</w:t>
      </w:r>
    </w:p>
    <w:p w14:paraId="027EB609">
      <w:pPr>
        <w:numPr>
          <w:ilvl w:val="0"/>
          <w:numId w:val="0"/>
        </w:numPr>
        <w:ind w:left="140" w:leftChars="0"/>
        <w:rPr>
          <w:rFonts w:hint="eastAsia"/>
          <w:b/>
          <w:bCs/>
          <w:sz w:val="24"/>
          <w:szCs w:val="24"/>
        </w:rPr>
      </w:pPr>
    </w:p>
    <w:p w14:paraId="745E77AA">
      <w:pPr>
        <w:tabs>
          <w:tab w:val="left" w:pos="737"/>
        </w:tabs>
        <w:bidi w:val="0"/>
        <w:jc w:val="left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4"/>
          <w:szCs w:val="24"/>
        </w:rPr>
        <w:t xml:space="preserve">报价公司（盖章）：                    联系人： 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/>
          <w:b/>
          <w:bCs/>
          <w:sz w:val="24"/>
          <w:szCs w:val="24"/>
        </w:rPr>
        <w:t xml:space="preserve">   联系电话：</w:t>
      </w:r>
      <w:r>
        <w:rPr>
          <w:rFonts w:hint="eastAsia"/>
          <w:b/>
          <w:bCs/>
          <w:sz w:val="28"/>
          <w:szCs w:val="28"/>
        </w:rPr>
        <w:t xml:space="preserve"> </w:t>
      </w:r>
    </w:p>
    <w:p w14:paraId="6099EC37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固定资产管理软件招标技术参数要求</w:t>
      </w:r>
      <w:r>
        <w:rPr>
          <w:rFonts w:ascii="Courier New" w:hAnsi="Courier New" w:eastAsia="黑体" w:cs="Courier New"/>
          <w:sz w:val="44"/>
          <w:szCs w:val="44"/>
        </w:rPr>
        <w:t>‌</w:t>
      </w:r>
    </w:p>
    <w:p w14:paraId="5949243E"/>
    <w:p w14:paraId="60D616E7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采用标准B/S架构，支持主流浏览器访问，兼容移动端及PDA设备（需提供手机版客户端）自适应访问。</w:t>
      </w:r>
    </w:p>
    <w:p w14:paraId="7140CD38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后端采用主流稳定框架，前端具备高性能渲染能力，支撑万级资产数据处理。</w:t>
      </w:r>
    </w:p>
    <w:p w14:paraId="153E4121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系统架构须具备模块化演进能力，支持未来平滑扩展新业务模块。</w:t>
      </w:r>
    </w:p>
    <w:p w14:paraId="48F1BBB7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支持角色控制，支持按需自定义权限。</w:t>
      </w:r>
    </w:p>
    <w:p w14:paraId="47C0832B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支持跨科室归口统管模式，实现混合业务申请单的自动拆单与智能路由。</w:t>
      </w:r>
    </w:p>
    <w:p w14:paraId="32A1F84E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支持资产编码与财务编码双轨并行管理，支持一键导出，辅助账实核对。</w:t>
      </w:r>
    </w:p>
    <w:p w14:paraId="7F948176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支持Excel批量导入，批量数据录入时自动处理为独立资产卡片。</w:t>
      </w:r>
    </w:p>
    <w:p w14:paraId="3CACBE79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支持与人事系统联动，人员调动时其名下资产自动转移，避免资产流失。</w:t>
      </w:r>
    </w:p>
    <w:p w14:paraId="3B36910E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支持混合资产调拨的智能拆单与多级动态审批。</w:t>
      </w:r>
    </w:p>
    <w:p w14:paraId="69E44B83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支持在线报修流程，维修期间设备状态标记，维修后需由报修人验收确认后解锁标记。</w:t>
      </w:r>
    </w:p>
    <w:p w14:paraId="40239EC7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支持设备借用审批，归还时若有损坏标记自动转入维修流程。</w:t>
      </w:r>
    </w:p>
    <w:p w14:paraId="15B0002F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报废流程须与残值评估、技术鉴定报告及财务核销强制关联。</w:t>
      </w:r>
    </w:p>
    <w:p w14:paraId="2B68889F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记录设备注册证、序列号、风险等级等信息。</w:t>
      </w:r>
    </w:p>
    <w:p w14:paraId="129F7BD6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支持计量强检周期管理，系统临期自动预警。</w:t>
      </w:r>
    </w:p>
    <w:p w14:paraId="5F5EAAA1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支持建立周期性预防性保养（PM）计划并自动生成保养工单。</w:t>
      </w:r>
    </w:p>
    <w:p w14:paraId="5D633072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采购申请根据金额阈值触发不同审批路径，包含小额直采、比价与公开招标等。</w:t>
      </w:r>
    </w:p>
    <w:p w14:paraId="296268E8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支持大额采购触发特批流程并进行留痕。</w:t>
      </w:r>
    </w:p>
    <w:p w14:paraId="2E597EA6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采购后，相关信息可自动流转至合同起草环节，确保数据一致性。</w:t>
      </w:r>
    </w:p>
    <w:p w14:paraId="099F485E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支持合同与资产的多对多挂载与生命周期溯源，支持原位续签。</w:t>
      </w:r>
    </w:p>
    <w:p w14:paraId="6C8AB0EB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支持合同尾款与质保金登记及超期提醒。</w:t>
      </w:r>
    </w:p>
    <w:p w14:paraId="6462890C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支持下发盘点任务时生成快照，锁定账面数据，确保盘点期间账目不受出入库影响。</w:t>
      </w:r>
    </w:p>
    <w:p w14:paraId="347AB30B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支持移动端（手机、PDA）在线及离线扫码盘点，离线数据可在线同步。</w:t>
      </w:r>
    </w:p>
    <w:p w14:paraId="7109DAE9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盘点时发现跨科室等异常情况，移动端支持现场报警与问题标注。</w:t>
      </w:r>
    </w:p>
    <w:p w14:paraId="7A4EED5C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安全要求</w:t>
      </w:r>
      <w:r>
        <w:rPr>
          <w:rFonts w:ascii="Times New Roman" w:hAnsi="Times New Roman" w:eastAsia="宋体" w:cs="Times New Roman"/>
          <w:sz w:val="24"/>
          <w:szCs w:val="24"/>
        </w:rPr>
        <w:t>‌</w:t>
      </w:r>
      <w:r>
        <w:rPr>
          <w:rFonts w:hint="eastAsia" w:ascii="宋体" w:hAnsi="宋体" w:eastAsia="宋体" w:cs="宋体"/>
          <w:sz w:val="24"/>
          <w:szCs w:val="24"/>
        </w:rPr>
        <w:t>：接口须具备严格权限控制，能有效防止数据被越权访问。</w:t>
      </w:r>
    </w:p>
    <w:p w14:paraId="57CFCBE0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性能要求</w:t>
      </w:r>
      <w:r>
        <w:rPr>
          <w:rFonts w:ascii="Times New Roman" w:hAnsi="Times New Roman" w:eastAsia="宋体" w:cs="Times New Roman"/>
          <w:sz w:val="24"/>
          <w:szCs w:val="24"/>
        </w:rPr>
        <w:t>‌</w:t>
      </w:r>
      <w:r>
        <w:rPr>
          <w:rFonts w:hint="eastAsia" w:ascii="宋体" w:hAnsi="宋体" w:eastAsia="宋体" w:cs="宋体"/>
          <w:sz w:val="24"/>
          <w:szCs w:val="24"/>
        </w:rPr>
        <w:t>：数据库设计应避免因简单并发控制引发长事务死锁。</w:t>
      </w:r>
    </w:p>
    <w:p w14:paraId="1F172677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售后服务：提供终身免费软件维保服务，并依据甲方需求进行二次开发。</w:t>
      </w:r>
    </w:p>
    <w:p w14:paraId="2D8DF09C">
      <w:pPr>
        <w:pStyle w:val="29"/>
        <w:numPr>
          <w:ilvl w:val="0"/>
          <w:numId w:val="2"/>
        </w:numPr>
        <w:spacing w:line="240" w:lineRule="atLeast"/>
        <w:ind w:left="0" w:firstLine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硬件设备：PDA设备3台，资产标签打印机2台。</w:t>
      </w:r>
    </w:p>
    <w:p w14:paraId="4822C1A1">
      <w:pPr>
        <w:pStyle w:val="29"/>
        <w:spacing w:line="240" w:lineRule="atLeas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PDA设备：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6714"/>
      </w:tblGrid>
      <w:tr w14:paraId="5743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pct"/>
          </w:tcPr>
          <w:p w14:paraId="6CE42957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处理器</w:t>
            </w:r>
          </w:p>
        </w:tc>
        <w:tc>
          <w:tcPr>
            <w:tcW w:w="3939" w:type="pct"/>
          </w:tcPr>
          <w:p w14:paraId="0812E0BA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不低于四核处理器</w:t>
            </w:r>
          </w:p>
        </w:tc>
      </w:tr>
      <w:tr w14:paraId="246CB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pct"/>
          </w:tcPr>
          <w:p w14:paraId="62BEFCD3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操作系统</w:t>
            </w:r>
          </w:p>
        </w:tc>
        <w:tc>
          <w:tcPr>
            <w:tcW w:w="3939" w:type="pct"/>
          </w:tcPr>
          <w:p w14:paraId="53F6216A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Android 9.0 及以上版本</w:t>
            </w:r>
          </w:p>
        </w:tc>
      </w:tr>
      <w:tr w14:paraId="4541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pct"/>
          </w:tcPr>
          <w:p w14:paraId="797CC399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显示屏</w:t>
            </w:r>
          </w:p>
        </w:tc>
        <w:tc>
          <w:tcPr>
            <w:tcW w:w="3939" w:type="pct"/>
          </w:tcPr>
          <w:p w14:paraId="4268B054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不小于 5 英寸，支持湿手操作、多点触控，户外强光可视</w:t>
            </w:r>
          </w:p>
        </w:tc>
      </w:tr>
      <w:tr w14:paraId="49BC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pct"/>
          </w:tcPr>
          <w:p w14:paraId="79454747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操作按键</w:t>
            </w:r>
          </w:p>
        </w:tc>
        <w:tc>
          <w:tcPr>
            <w:tcW w:w="3939" w:type="pct"/>
          </w:tcPr>
          <w:p w14:paraId="71CC67F3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配备实体快捷扫码按键及物理键盘，便于快速操作</w:t>
            </w:r>
          </w:p>
        </w:tc>
      </w:tr>
      <w:tr w14:paraId="12C7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pct"/>
          </w:tcPr>
          <w:p w14:paraId="6AB2F44F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扫描功能</w:t>
            </w:r>
          </w:p>
        </w:tc>
        <w:tc>
          <w:tcPr>
            <w:tcW w:w="3939" w:type="pct"/>
          </w:tcPr>
          <w:p w14:paraId="6E537548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可智能识别一维码、二维码，扫描识读精度不低于 5mil；支持按键扫描、触屏扫描、连续扫描、批量盘点模式</w:t>
            </w:r>
          </w:p>
        </w:tc>
      </w:tr>
      <w:tr w14:paraId="3E75E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pct"/>
          </w:tcPr>
          <w:p w14:paraId="7DD49184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通讯功能</w:t>
            </w:r>
          </w:p>
        </w:tc>
        <w:tc>
          <w:tcPr>
            <w:tcW w:w="3939" w:type="pct"/>
          </w:tcPr>
          <w:p w14:paraId="5EDF7AC6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可智能识别一维码、二维码，扫描识读精度不低于 5mil；支持按键扫描、触屏扫描、连续扫描、批量盘点模式</w:t>
            </w:r>
          </w:p>
        </w:tc>
      </w:tr>
      <w:tr w14:paraId="4178E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pct"/>
          </w:tcPr>
          <w:p w14:paraId="3568FDA5">
            <w:pPr>
              <w:pStyle w:val="29"/>
              <w:spacing w:line="240" w:lineRule="atLeast"/>
              <w:ind w:left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摄像头</w:t>
            </w:r>
          </w:p>
        </w:tc>
        <w:tc>
          <w:tcPr>
            <w:tcW w:w="3939" w:type="pct"/>
          </w:tcPr>
          <w:p w14:paraId="17D780E7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后置摄像头不低于 800 万像素，支持拍照存档、OCR 文字识别</w:t>
            </w:r>
          </w:p>
        </w:tc>
      </w:tr>
    </w:tbl>
    <w:p w14:paraId="760F50FE">
      <w:pPr>
        <w:pStyle w:val="29"/>
        <w:spacing w:line="240" w:lineRule="atLeast"/>
        <w:ind w:left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资产标签打印机：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 w14:paraId="2500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4F5E728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打印模式</w:t>
            </w:r>
          </w:p>
        </w:tc>
        <w:tc>
          <w:tcPr>
            <w:tcW w:w="6713" w:type="dxa"/>
          </w:tcPr>
          <w:p w14:paraId="08B1B882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支持热敏、热转印双模式打印</w:t>
            </w:r>
          </w:p>
        </w:tc>
      </w:tr>
      <w:tr w14:paraId="01560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FA31B52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分辨率</w:t>
            </w:r>
          </w:p>
        </w:tc>
        <w:tc>
          <w:tcPr>
            <w:tcW w:w="6713" w:type="dxa"/>
          </w:tcPr>
          <w:p w14:paraId="7F5BD70D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≥300dpi</w:t>
            </w:r>
            <w:r>
              <w:rPr>
                <w:rFonts w:ascii="宋体" w:hAnsi="宋体" w:eastAsia="宋体"/>
                <w:sz w:val="24"/>
                <w:szCs w:val="24"/>
              </w:rPr>
              <w:t>，满足固定资产标签高清打印</w:t>
            </w:r>
          </w:p>
        </w:tc>
      </w:tr>
      <w:tr w14:paraId="2AFB7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D0DB2AB">
            <w:pPr>
              <w:pStyle w:val="29"/>
              <w:tabs>
                <w:tab w:val="left" w:pos="1470"/>
              </w:tabs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打印宽度</w:t>
            </w:r>
          </w:p>
        </w:tc>
        <w:tc>
          <w:tcPr>
            <w:tcW w:w="6713" w:type="dxa"/>
          </w:tcPr>
          <w:p w14:paraId="718C35DE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≥108mm</w:t>
            </w:r>
            <w:r>
              <w:rPr>
                <w:rFonts w:ascii="宋体" w:hAnsi="宋体" w:eastAsia="宋体"/>
                <w:sz w:val="24"/>
                <w:szCs w:val="24"/>
              </w:rPr>
              <w:t>，兼容多规格标签纸</w:t>
            </w:r>
          </w:p>
        </w:tc>
      </w:tr>
      <w:tr w14:paraId="32F4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56CEF21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打印速度</w:t>
            </w:r>
          </w:p>
        </w:tc>
        <w:tc>
          <w:tcPr>
            <w:tcW w:w="6713" w:type="dxa"/>
          </w:tcPr>
          <w:p w14:paraId="5F1E92D6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≥100mm/s</w:t>
            </w:r>
            <w:r>
              <w:rPr>
                <w:rFonts w:ascii="宋体" w:hAnsi="宋体" w:eastAsia="宋体"/>
                <w:sz w:val="24"/>
                <w:szCs w:val="24"/>
              </w:rPr>
              <w:t>，支持批量连续打印</w:t>
            </w:r>
          </w:p>
        </w:tc>
      </w:tr>
      <w:tr w14:paraId="4547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B680F42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传感器</w:t>
            </w:r>
          </w:p>
        </w:tc>
        <w:tc>
          <w:tcPr>
            <w:tcW w:w="6713" w:type="dxa"/>
          </w:tcPr>
          <w:p w14:paraId="321E08E1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双传感器自动测纸，支持间隙纸、黑标纸识别</w:t>
            </w:r>
          </w:p>
        </w:tc>
      </w:tr>
      <w:tr w14:paraId="779EC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CCB724C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接口</w:t>
            </w:r>
          </w:p>
        </w:tc>
        <w:tc>
          <w:tcPr>
            <w:tcW w:w="6713" w:type="dxa"/>
          </w:tcPr>
          <w:p w14:paraId="13EC9F0F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标配高速 USB 接口，兼容 Windows 及主流国产操作系统</w:t>
            </w:r>
          </w:p>
        </w:tc>
      </w:tr>
      <w:tr w14:paraId="7E5DD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1E7B63F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应用场景</w:t>
            </w:r>
          </w:p>
        </w:tc>
        <w:tc>
          <w:tcPr>
            <w:tcW w:w="6713" w:type="dxa"/>
          </w:tcPr>
          <w:p w14:paraId="11477B9C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适用于固定资产条码、仓储物流标签、商品吊牌、水洗标等</w:t>
            </w:r>
          </w:p>
        </w:tc>
      </w:tr>
      <w:tr w14:paraId="615A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14D555B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可靠性</w:t>
            </w:r>
          </w:p>
        </w:tc>
        <w:tc>
          <w:tcPr>
            <w:tcW w:w="6713" w:type="dxa"/>
          </w:tcPr>
          <w:p w14:paraId="3ED08A68">
            <w:pPr>
              <w:pStyle w:val="29"/>
              <w:spacing w:line="240" w:lineRule="atLeast"/>
              <w:ind w:left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工业级耐用设计，支持长时间连续盘点打印作业</w:t>
            </w:r>
          </w:p>
        </w:tc>
      </w:tr>
    </w:tbl>
    <w:p w14:paraId="49D8C0D3">
      <w:pPr>
        <w:pStyle w:val="29"/>
        <w:spacing w:line="240" w:lineRule="atLeast"/>
        <w:ind w:left="0"/>
        <w:rPr>
          <w:rFonts w:hint="eastAsia" w:ascii="宋体" w:hAnsi="宋体" w:eastAsia="宋体"/>
          <w:sz w:val="28"/>
          <w:szCs w:val="28"/>
        </w:rPr>
      </w:pPr>
    </w:p>
    <w:p w14:paraId="15AEE7EB">
      <w:pPr>
        <w:pStyle w:val="29"/>
        <w:numPr>
          <w:ilvl w:val="0"/>
          <w:numId w:val="0"/>
        </w:numPr>
        <w:spacing w:line="240" w:lineRule="atLeast"/>
        <w:ind w:leftChars="0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736ED9"/>
    <w:multiLevelType w:val="multilevel"/>
    <w:tmpl w:val="25736ED9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8B53AC0"/>
    <w:multiLevelType w:val="singleLevel"/>
    <w:tmpl w:val="78B53AC0"/>
    <w:lvl w:ilvl="0" w:tentative="0">
      <w:start w:val="2"/>
      <w:numFmt w:val="decimal"/>
      <w:suff w:val="nothing"/>
      <w:lvlText w:val="%1、"/>
      <w:lvlJc w:val="left"/>
      <w:pPr>
        <w:ind w:left="140" w:leftChars="0" w:firstLine="0" w:firstLineChars="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231"/>
    <w:rsid w:val="00126DF1"/>
    <w:rsid w:val="001B069D"/>
    <w:rsid w:val="00452853"/>
    <w:rsid w:val="004708F9"/>
    <w:rsid w:val="00722C43"/>
    <w:rsid w:val="00751670"/>
    <w:rsid w:val="008F3FDA"/>
    <w:rsid w:val="00AE0E52"/>
    <w:rsid w:val="00BA1F14"/>
    <w:rsid w:val="00C80231"/>
    <w:rsid w:val="00F57BA1"/>
    <w:rsid w:val="01E558D1"/>
    <w:rsid w:val="10240C99"/>
    <w:rsid w:val="2FA63021"/>
    <w:rsid w:val="45C85647"/>
    <w:rsid w:val="4855661E"/>
    <w:rsid w:val="52551914"/>
    <w:rsid w:val="53807561"/>
    <w:rsid w:val="576F4E59"/>
    <w:rsid w:val="5D6972B8"/>
    <w:rsid w:val="75A803E5"/>
    <w:rsid w:val="77AB3A64"/>
    <w:rsid w:val="7CC3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37609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37609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4E051-9747-4B83-A3C4-FC4F6F6427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1422</Words>
  <Characters>1480</Characters>
  <Lines>5</Lines>
  <Paragraphs>1</Paragraphs>
  <TotalTime>0</TotalTime>
  <ScaleCrop>false</ScaleCrop>
  <LinksUpToDate>false</LinksUpToDate>
  <CharactersWithSpaces>1534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2026-03-31T08:16:00Z</dcterms:created>
  <dc:creator>Administrator</dc:creator>
  <cp:lastModifiedBy>圆。球。兒</cp:lastModifiedBy>
  <dcterms:modified xsi:type="dcterms:W3CDTF">2026-04-08T04:29:55Z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eyJoZGlkIjoiNWU5Y2NiNWFkYWI0ZTAzNTVjZGJhNDdlMjEzZWJlM2QiLCJ1c2VySWQiOiI5OTU2Nzk0NzkifQ==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F8D2BF8EF5E24FD8B453F0A8EEDEFB0F_12</vt:lpwstr>
  </property>
</Properties>
</file>